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0D" w:rsidRPr="00B96231" w:rsidRDefault="00FE1D0D" w:rsidP="00650D8C">
      <w:pPr>
        <w:spacing w:after="0"/>
        <w:rPr>
          <w:rFonts w:asciiTheme="minorHAnsi" w:hAnsiTheme="minorHAnsi"/>
          <w:sz w:val="36"/>
        </w:rPr>
      </w:pPr>
    </w:p>
    <w:p w:rsidR="00650D8C" w:rsidRPr="00B96231" w:rsidRDefault="00650D8C" w:rsidP="00650D8C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B96231">
        <w:rPr>
          <w:rFonts w:asciiTheme="minorHAnsi" w:hAnsiTheme="minorHAnsi" w:cs="Arial"/>
          <w:b/>
          <w:sz w:val="28"/>
          <w:szCs w:val="28"/>
        </w:rPr>
        <w:t xml:space="preserve">Minden eddiginél többen gyűjtik a szemetet a </w:t>
      </w:r>
      <w:proofErr w:type="spellStart"/>
      <w:r w:rsidRPr="00B96231">
        <w:rPr>
          <w:rFonts w:asciiTheme="minorHAnsi" w:hAnsiTheme="minorHAnsi" w:cs="Arial"/>
          <w:b/>
          <w:sz w:val="28"/>
          <w:szCs w:val="28"/>
        </w:rPr>
        <w:t>TeSzedd</w:t>
      </w:r>
      <w:proofErr w:type="spellEnd"/>
      <w:r w:rsidRPr="00B96231">
        <w:rPr>
          <w:rFonts w:asciiTheme="minorHAnsi" w:hAnsiTheme="minorHAnsi" w:cs="Arial"/>
          <w:b/>
          <w:sz w:val="28"/>
          <w:szCs w:val="28"/>
        </w:rPr>
        <w:t>!</w:t>
      </w:r>
      <w:proofErr w:type="spellStart"/>
      <w:r w:rsidRPr="00B96231">
        <w:rPr>
          <w:rFonts w:asciiTheme="minorHAnsi" w:hAnsiTheme="minorHAnsi" w:cs="Arial"/>
          <w:b/>
          <w:sz w:val="28"/>
          <w:szCs w:val="28"/>
        </w:rPr>
        <w:t>-en</w:t>
      </w:r>
      <w:proofErr w:type="spellEnd"/>
    </w:p>
    <w:p w:rsidR="00650D8C" w:rsidRPr="00B96231" w:rsidRDefault="00650D8C" w:rsidP="00650D8C">
      <w:pPr>
        <w:spacing w:after="0"/>
        <w:rPr>
          <w:rFonts w:asciiTheme="minorHAnsi" w:hAnsiTheme="minorHAnsi" w:cs="Arial"/>
          <w:i/>
          <w:sz w:val="24"/>
          <w:szCs w:val="24"/>
        </w:rPr>
      </w:pPr>
    </w:p>
    <w:p w:rsidR="00650D8C" w:rsidRPr="00B96231" w:rsidRDefault="00FE1D0D" w:rsidP="00B96231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B96231">
        <w:rPr>
          <w:rFonts w:asciiTheme="minorHAnsi" w:hAnsiTheme="minorHAnsi" w:cs="Arial"/>
          <w:i/>
          <w:sz w:val="24"/>
          <w:szCs w:val="24"/>
        </w:rPr>
        <w:t>Fegyvernek, 2014. május 9</w:t>
      </w:r>
      <w:r w:rsidRPr="00B96231">
        <w:rPr>
          <w:rFonts w:asciiTheme="minorHAnsi" w:hAnsiTheme="minorHAnsi" w:cs="Arial"/>
          <w:b/>
          <w:sz w:val="24"/>
          <w:szCs w:val="24"/>
        </w:rPr>
        <w:t xml:space="preserve">. – </w:t>
      </w:r>
      <w:r w:rsidR="00650D8C" w:rsidRPr="00B96231">
        <w:rPr>
          <w:rFonts w:asciiTheme="minorHAnsi" w:hAnsiTheme="minorHAnsi" w:cs="Arial"/>
          <w:b/>
          <w:sz w:val="24"/>
          <w:szCs w:val="24"/>
        </w:rPr>
        <w:t xml:space="preserve">Ma reggel rekordszámú önkéntessel és minden eddiginél több szemétgyűjtési </w:t>
      </w:r>
      <w:r w:rsidR="001E4D35">
        <w:rPr>
          <w:rFonts w:asciiTheme="minorHAnsi" w:hAnsiTheme="minorHAnsi" w:cs="Arial"/>
          <w:b/>
          <w:sz w:val="24"/>
          <w:szCs w:val="24"/>
        </w:rPr>
        <w:t>helyszínen</w:t>
      </w:r>
      <w:r w:rsidR="001E4D35" w:rsidRPr="00B96231">
        <w:rPr>
          <w:rFonts w:asciiTheme="minorHAnsi" w:hAnsiTheme="minorHAnsi" w:cs="Arial"/>
          <w:b/>
          <w:sz w:val="24"/>
          <w:szCs w:val="24"/>
        </w:rPr>
        <w:t xml:space="preserve"> </w:t>
      </w:r>
      <w:r w:rsidR="00650D8C" w:rsidRPr="00B96231">
        <w:rPr>
          <w:rFonts w:asciiTheme="minorHAnsi" w:hAnsiTheme="minorHAnsi" w:cs="Arial"/>
          <w:b/>
          <w:sz w:val="24"/>
          <w:szCs w:val="24"/>
        </w:rPr>
        <w:t xml:space="preserve">megkezdődött a </w:t>
      </w:r>
      <w:proofErr w:type="spellStart"/>
      <w:r w:rsidR="00650D8C" w:rsidRPr="00B96231">
        <w:rPr>
          <w:rFonts w:asciiTheme="minorHAnsi" w:hAnsiTheme="minorHAnsi" w:cs="Arial"/>
          <w:b/>
          <w:sz w:val="24"/>
          <w:szCs w:val="24"/>
        </w:rPr>
        <w:t>TeSzedd</w:t>
      </w:r>
      <w:proofErr w:type="spellEnd"/>
      <w:r w:rsidR="00650D8C" w:rsidRPr="00B96231">
        <w:rPr>
          <w:rFonts w:asciiTheme="minorHAnsi" w:hAnsiTheme="minorHAnsi" w:cs="Arial"/>
          <w:b/>
          <w:sz w:val="24"/>
          <w:szCs w:val="24"/>
        </w:rPr>
        <w:t xml:space="preserve">! </w:t>
      </w:r>
      <w:proofErr w:type="gramStart"/>
      <w:r w:rsidR="00650D8C" w:rsidRPr="00B96231">
        <w:rPr>
          <w:rFonts w:asciiTheme="minorHAnsi" w:hAnsiTheme="minorHAnsi" w:cs="Arial"/>
          <w:b/>
          <w:sz w:val="24"/>
          <w:szCs w:val="24"/>
        </w:rPr>
        <w:t>országos</w:t>
      </w:r>
      <w:proofErr w:type="gramEnd"/>
      <w:r w:rsidR="00650D8C" w:rsidRPr="00B96231">
        <w:rPr>
          <w:rFonts w:asciiTheme="minorHAnsi" w:hAnsiTheme="minorHAnsi" w:cs="Arial"/>
          <w:b/>
          <w:sz w:val="24"/>
          <w:szCs w:val="24"/>
        </w:rPr>
        <w:t xml:space="preserve"> szemétszedési a</w:t>
      </w:r>
      <w:r w:rsidR="00650D8C" w:rsidRPr="00B96231">
        <w:rPr>
          <w:rFonts w:asciiTheme="minorHAnsi" w:hAnsiTheme="minorHAnsi" w:cs="Arial"/>
          <w:b/>
          <w:sz w:val="24"/>
          <w:szCs w:val="24"/>
        </w:rPr>
        <w:t>k</w:t>
      </w:r>
      <w:r w:rsidR="00650D8C" w:rsidRPr="00B96231">
        <w:rPr>
          <w:rFonts w:asciiTheme="minorHAnsi" w:hAnsiTheme="minorHAnsi" w:cs="Arial"/>
          <w:b/>
          <w:sz w:val="24"/>
          <w:szCs w:val="24"/>
        </w:rPr>
        <w:t>ció. „Ez a munka a legjobb befektetés a jövőbe. Megmutatjuk, hogy évről évre egyre több embernek fontos, hogy megtisztítsa szűkebb-tágabb környezetét az eldobált, illegálisan lerakott sz</w:t>
      </w:r>
      <w:r w:rsidR="00650D8C" w:rsidRPr="00B96231">
        <w:rPr>
          <w:rFonts w:asciiTheme="minorHAnsi" w:hAnsiTheme="minorHAnsi" w:cs="Arial"/>
          <w:b/>
          <w:sz w:val="24"/>
          <w:szCs w:val="24"/>
        </w:rPr>
        <w:t>e</w:t>
      </w:r>
      <w:r w:rsidR="00650D8C" w:rsidRPr="00B96231">
        <w:rPr>
          <w:rFonts w:asciiTheme="minorHAnsi" w:hAnsiTheme="minorHAnsi" w:cs="Arial"/>
          <w:b/>
          <w:sz w:val="24"/>
          <w:szCs w:val="24"/>
        </w:rPr>
        <w:t>méttől.” – mondta az esemény megnyitóján a Jász-Nagykun-Szolnok megyei Fegyvern</w:t>
      </w:r>
      <w:r w:rsidR="00650D8C" w:rsidRPr="00B96231">
        <w:rPr>
          <w:rFonts w:asciiTheme="minorHAnsi" w:hAnsiTheme="minorHAnsi" w:cs="Arial"/>
          <w:b/>
          <w:sz w:val="24"/>
          <w:szCs w:val="24"/>
        </w:rPr>
        <w:t>e</w:t>
      </w:r>
      <w:r w:rsidR="00650D8C" w:rsidRPr="00B96231">
        <w:rPr>
          <w:rFonts w:asciiTheme="minorHAnsi" w:hAnsiTheme="minorHAnsi" w:cs="Arial"/>
          <w:b/>
          <w:sz w:val="24"/>
          <w:szCs w:val="24"/>
        </w:rPr>
        <w:t>ken Fazekas Sándor vidékfejlesztési miniszter.</w:t>
      </w: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50D8C" w:rsidRPr="00B96231" w:rsidRDefault="00650D8C" w:rsidP="00B96231">
      <w:pPr>
        <w:pStyle w:val="Listaszerbekezds1"/>
        <w:widowControl/>
        <w:suppressAutoHyphens w:val="0"/>
        <w:spacing w:after="120" w:line="276" w:lineRule="auto"/>
        <w:ind w:left="0"/>
        <w:jc w:val="both"/>
        <w:rPr>
          <w:rFonts w:asciiTheme="minorHAnsi" w:hAnsiTheme="minorHAnsi" w:cs="Arial"/>
          <w:kern w:val="0"/>
          <w:lang w:eastAsia="en-US"/>
        </w:rPr>
      </w:pPr>
      <w:r w:rsidRPr="00B96231">
        <w:rPr>
          <w:rFonts w:asciiTheme="minorHAnsi" w:hAnsiTheme="minorHAnsi" w:cs="Arial"/>
          <w:szCs w:val="24"/>
        </w:rPr>
        <w:t xml:space="preserve">Ma reggel megkezdődött a negyedik </w:t>
      </w:r>
      <w:proofErr w:type="spellStart"/>
      <w:r w:rsidRPr="00B96231">
        <w:rPr>
          <w:rFonts w:asciiTheme="minorHAnsi" w:hAnsiTheme="minorHAnsi" w:cs="Arial"/>
          <w:szCs w:val="24"/>
        </w:rPr>
        <w:t>TeSzedd</w:t>
      </w:r>
      <w:proofErr w:type="spellEnd"/>
      <w:r w:rsidRPr="00B96231">
        <w:rPr>
          <w:rFonts w:asciiTheme="minorHAnsi" w:hAnsiTheme="minorHAnsi" w:cs="Arial"/>
          <w:szCs w:val="24"/>
        </w:rPr>
        <w:t>!</w:t>
      </w:r>
      <w:r w:rsidR="001E4D35">
        <w:rPr>
          <w:rFonts w:asciiTheme="minorHAnsi" w:hAnsiTheme="minorHAnsi" w:cs="Arial"/>
          <w:szCs w:val="24"/>
        </w:rPr>
        <w:t xml:space="preserve"> – Önkéntesen a tiszta Magyarországért akció</w:t>
      </w:r>
      <w:r w:rsidRPr="00B96231">
        <w:rPr>
          <w:rFonts w:asciiTheme="minorHAnsi" w:hAnsiTheme="minorHAnsi" w:cs="Arial"/>
          <w:szCs w:val="24"/>
        </w:rPr>
        <w:t>. A v</w:t>
      </w:r>
      <w:r w:rsidRPr="00B96231">
        <w:rPr>
          <w:rFonts w:asciiTheme="minorHAnsi" w:hAnsiTheme="minorHAnsi" w:cs="Arial"/>
          <w:szCs w:val="24"/>
        </w:rPr>
        <w:t>i</w:t>
      </w:r>
      <w:r w:rsidRPr="00B96231">
        <w:rPr>
          <w:rFonts w:asciiTheme="minorHAnsi" w:hAnsiTheme="minorHAnsi" w:cs="Arial"/>
          <w:szCs w:val="24"/>
        </w:rPr>
        <w:t xml:space="preserve">dékfejlesztési miniszter emlékeztetett arra, hogy az országos szemétgyűjtési akcióra minden eddiginél többen, összesen több mint 120 ezren jelentkeztek, hogy az ország </w:t>
      </w:r>
      <w:r w:rsidR="003B6807">
        <w:rPr>
          <w:rFonts w:asciiTheme="minorHAnsi" w:hAnsiTheme="minorHAnsi" w:cs="Arial"/>
          <w:szCs w:val="24"/>
        </w:rPr>
        <w:t xml:space="preserve">mintegy </w:t>
      </w:r>
      <w:r w:rsidRPr="00B96231">
        <w:rPr>
          <w:rFonts w:asciiTheme="minorHAnsi" w:hAnsiTheme="minorHAnsi" w:cs="Arial"/>
          <w:szCs w:val="24"/>
        </w:rPr>
        <w:t xml:space="preserve">1800 pontján bezsákolják a közterületeken felhalmozódott szemetet. A </w:t>
      </w:r>
      <w:proofErr w:type="spellStart"/>
      <w:r w:rsidRPr="00B96231">
        <w:rPr>
          <w:rFonts w:asciiTheme="minorHAnsi" w:hAnsiTheme="minorHAnsi" w:cs="Arial"/>
          <w:szCs w:val="24"/>
        </w:rPr>
        <w:t>TeSzedd</w:t>
      </w:r>
      <w:proofErr w:type="spellEnd"/>
      <w:r w:rsidRPr="00B96231">
        <w:rPr>
          <w:rFonts w:asciiTheme="minorHAnsi" w:hAnsiTheme="minorHAnsi" w:cs="Arial"/>
          <w:szCs w:val="24"/>
        </w:rPr>
        <w:t xml:space="preserve">! </w:t>
      </w:r>
      <w:proofErr w:type="gramStart"/>
      <w:r w:rsidRPr="00B96231">
        <w:rPr>
          <w:rFonts w:asciiTheme="minorHAnsi" w:hAnsiTheme="minorHAnsi" w:cs="Arial"/>
          <w:szCs w:val="24"/>
        </w:rPr>
        <w:t>idén</w:t>
      </w:r>
      <w:proofErr w:type="gramEnd"/>
      <w:r w:rsidRPr="00B96231">
        <w:rPr>
          <w:rFonts w:asciiTheme="minorHAnsi" w:hAnsiTheme="minorHAnsi" w:cs="Arial"/>
          <w:szCs w:val="24"/>
        </w:rPr>
        <w:t xml:space="preserve"> három n</w:t>
      </w:r>
      <w:r w:rsidRPr="00B96231">
        <w:rPr>
          <w:rFonts w:asciiTheme="minorHAnsi" w:hAnsiTheme="minorHAnsi" w:cs="Arial"/>
          <w:szCs w:val="24"/>
        </w:rPr>
        <w:t>a</w:t>
      </w:r>
      <w:r w:rsidRPr="00B96231">
        <w:rPr>
          <w:rFonts w:asciiTheme="minorHAnsi" w:hAnsiTheme="minorHAnsi" w:cs="Arial"/>
          <w:szCs w:val="24"/>
        </w:rPr>
        <w:t xml:space="preserve">pon át, május 9-étől 11-éig tart. </w:t>
      </w:r>
      <w:r w:rsidRPr="00B96231">
        <w:rPr>
          <w:rFonts w:asciiTheme="minorHAnsi" w:hAnsiTheme="minorHAnsi" w:cs="Arial"/>
          <w:kern w:val="0"/>
          <w:lang w:eastAsia="en-US"/>
        </w:rPr>
        <w:t>Az akció ebben az évben csa</w:t>
      </w:r>
      <w:r w:rsidRPr="00B96231">
        <w:rPr>
          <w:rFonts w:asciiTheme="minorHAnsi" w:hAnsiTheme="minorHAnsi" w:cs="Arial"/>
          <w:kern w:val="0"/>
          <w:lang w:eastAsia="en-US"/>
        </w:rPr>
        <w:t>t</w:t>
      </w:r>
      <w:r w:rsidRPr="00B96231">
        <w:rPr>
          <w:rFonts w:asciiTheme="minorHAnsi" w:hAnsiTheme="minorHAnsi" w:cs="Arial"/>
          <w:kern w:val="0"/>
          <w:lang w:eastAsia="en-US"/>
        </w:rPr>
        <w:t xml:space="preserve">lakozik az Európai Bizottság EWWR LIFE+ programja keretében meghirdetett „Tisztítsuk meg Európát!” </w:t>
      </w:r>
      <w:proofErr w:type="gramStart"/>
      <w:r w:rsidR="00B96231">
        <w:rPr>
          <w:rFonts w:asciiTheme="minorHAnsi" w:hAnsiTheme="minorHAnsi" w:cs="Arial"/>
          <w:kern w:val="0"/>
          <w:lang w:eastAsia="en-US"/>
        </w:rPr>
        <w:t>kezdeményezé</w:t>
      </w:r>
      <w:r w:rsidR="00B96231">
        <w:rPr>
          <w:rFonts w:asciiTheme="minorHAnsi" w:hAnsiTheme="minorHAnsi" w:cs="Arial"/>
          <w:kern w:val="0"/>
          <w:lang w:eastAsia="en-US"/>
        </w:rPr>
        <w:t>s</w:t>
      </w:r>
      <w:r w:rsidR="00B96231">
        <w:rPr>
          <w:rFonts w:asciiTheme="minorHAnsi" w:hAnsiTheme="minorHAnsi" w:cs="Arial"/>
          <w:kern w:val="0"/>
          <w:lang w:eastAsia="en-US"/>
        </w:rPr>
        <w:t>hez</w:t>
      </w:r>
      <w:proofErr w:type="gramEnd"/>
      <w:r w:rsidRPr="00B96231">
        <w:rPr>
          <w:rFonts w:asciiTheme="minorHAnsi" w:hAnsiTheme="minorHAnsi" w:cs="Arial"/>
          <w:kern w:val="0"/>
          <w:lang w:eastAsia="en-US"/>
        </w:rPr>
        <w:t xml:space="preserve">. </w:t>
      </w:r>
      <w:r w:rsidRPr="00B96231">
        <w:rPr>
          <w:rFonts w:asciiTheme="minorHAnsi" w:hAnsiTheme="minorHAnsi" w:cs="Arial"/>
          <w:b/>
          <w:kern w:val="0"/>
          <w:lang w:eastAsia="en-US"/>
        </w:rPr>
        <w:t xml:space="preserve">Az együttműködésnek köszönhetően május 10-én </w:t>
      </w:r>
      <w:r w:rsidR="00E92D17">
        <w:rPr>
          <w:rFonts w:asciiTheme="minorHAnsi" w:hAnsiTheme="minorHAnsi" w:cs="Arial"/>
          <w:b/>
          <w:kern w:val="0"/>
          <w:lang w:eastAsia="en-US"/>
        </w:rPr>
        <w:t>16 e</w:t>
      </w:r>
      <w:r w:rsidRPr="00B96231">
        <w:rPr>
          <w:rFonts w:asciiTheme="minorHAnsi" w:hAnsiTheme="minorHAnsi" w:cs="Arial"/>
          <w:b/>
          <w:kern w:val="0"/>
          <w:lang w:eastAsia="en-US"/>
        </w:rPr>
        <w:t>ur</w:t>
      </w:r>
      <w:r w:rsidRPr="00B96231">
        <w:rPr>
          <w:rFonts w:asciiTheme="minorHAnsi" w:hAnsiTheme="minorHAnsi" w:cs="Arial"/>
          <w:b/>
          <w:kern w:val="0"/>
          <w:lang w:eastAsia="en-US"/>
        </w:rPr>
        <w:t>ó</w:t>
      </w:r>
      <w:r w:rsidRPr="00B96231">
        <w:rPr>
          <w:rFonts w:asciiTheme="minorHAnsi" w:hAnsiTheme="minorHAnsi" w:cs="Arial"/>
          <w:b/>
          <w:kern w:val="0"/>
          <w:lang w:eastAsia="en-US"/>
        </w:rPr>
        <w:t>pa</w:t>
      </w:r>
      <w:r w:rsidR="00E92D17">
        <w:rPr>
          <w:rFonts w:asciiTheme="minorHAnsi" w:hAnsiTheme="minorHAnsi" w:cs="Arial"/>
          <w:b/>
          <w:kern w:val="0"/>
          <w:lang w:eastAsia="en-US"/>
        </w:rPr>
        <w:t xml:space="preserve">i uniós és 5, a közösségen kívüli </w:t>
      </w:r>
      <w:r w:rsidRPr="00B96231">
        <w:rPr>
          <w:rFonts w:asciiTheme="minorHAnsi" w:hAnsiTheme="minorHAnsi" w:cs="Arial"/>
          <w:b/>
          <w:kern w:val="0"/>
          <w:lang w:eastAsia="en-US"/>
        </w:rPr>
        <w:t>országában</w:t>
      </w:r>
      <w:r w:rsidRPr="00B96231">
        <w:rPr>
          <w:rFonts w:asciiTheme="minorHAnsi" w:hAnsiTheme="minorHAnsi" w:cs="Arial"/>
          <w:kern w:val="0"/>
          <w:lang w:eastAsia="en-US"/>
        </w:rPr>
        <w:t xml:space="preserve"> tartanak egyszerre a </w:t>
      </w:r>
      <w:proofErr w:type="spellStart"/>
      <w:r w:rsidRPr="00B96231">
        <w:rPr>
          <w:rFonts w:asciiTheme="minorHAnsi" w:hAnsiTheme="minorHAnsi" w:cs="Arial"/>
          <w:kern w:val="0"/>
          <w:lang w:eastAsia="en-US"/>
        </w:rPr>
        <w:t>TeSzedd</w:t>
      </w:r>
      <w:proofErr w:type="spellEnd"/>
      <w:r w:rsidRPr="00B96231">
        <w:rPr>
          <w:rFonts w:asciiTheme="minorHAnsi" w:hAnsiTheme="minorHAnsi" w:cs="Arial"/>
          <w:kern w:val="0"/>
          <w:lang w:eastAsia="en-US"/>
        </w:rPr>
        <w:t>!</w:t>
      </w:r>
      <w:proofErr w:type="spellStart"/>
      <w:r w:rsidRPr="00B96231">
        <w:rPr>
          <w:rFonts w:asciiTheme="minorHAnsi" w:hAnsiTheme="minorHAnsi" w:cs="Arial"/>
          <w:kern w:val="0"/>
          <w:lang w:eastAsia="en-US"/>
        </w:rPr>
        <w:t>-hez</w:t>
      </w:r>
      <w:proofErr w:type="spellEnd"/>
      <w:r w:rsidRPr="00B96231">
        <w:rPr>
          <w:rFonts w:asciiTheme="minorHAnsi" w:hAnsiTheme="minorHAnsi" w:cs="Arial"/>
          <w:kern w:val="0"/>
          <w:lang w:eastAsia="en-US"/>
        </w:rPr>
        <w:t xml:space="preserve"> hasonló sz</w:t>
      </w:r>
      <w:r w:rsidRPr="00B96231">
        <w:rPr>
          <w:rFonts w:asciiTheme="minorHAnsi" w:hAnsiTheme="minorHAnsi" w:cs="Arial"/>
          <w:kern w:val="0"/>
          <w:lang w:eastAsia="en-US"/>
        </w:rPr>
        <w:t>e</w:t>
      </w:r>
      <w:r w:rsidRPr="00B96231">
        <w:rPr>
          <w:rFonts w:asciiTheme="minorHAnsi" w:hAnsiTheme="minorHAnsi" w:cs="Arial"/>
          <w:kern w:val="0"/>
          <w:lang w:eastAsia="en-US"/>
        </w:rPr>
        <w:t xml:space="preserve">métgyűjtési akciót. </w:t>
      </w: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50D8C" w:rsidRPr="00B96231" w:rsidRDefault="00650D8C" w:rsidP="00B96231">
      <w:pPr>
        <w:spacing w:after="0"/>
        <w:jc w:val="both"/>
        <w:rPr>
          <w:rFonts w:asciiTheme="minorHAnsi" w:hAnsiTheme="minorHAnsi"/>
        </w:rPr>
      </w:pPr>
      <w:r w:rsidRPr="00B96231">
        <w:rPr>
          <w:rFonts w:asciiTheme="minorHAnsi" w:hAnsiTheme="minorHAnsi" w:cs="Arial"/>
          <w:sz w:val="24"/>
          <w:szCs w:val="24"/>
        </w:rPr>
        <w:t xml:space="preserve">Fazekas Sándor hangsúlyozta, hogy a tavalyihoz képest </w:t>
      </w:r>
      <w:r w:rsidR="003B6807">
        <w:rPr>
          <w:rFonts w:asciiTheme="minorHAnsi" w:hAnsiTheme="minorHAnsi" w:cs="Arial"/>
          <w:sz w:val="24"/>
          <w:szCs w:val="24"/>
        </w:rPr>
        <w:t xml:space="preserve">több mint </w:t>
      </w:r>
      <w:r w:rsidRPr="00B96231">
        <w:rPr>
          <w:rFonts w:asciiTheme="minorHAnsi" w:hAnsiTheme="minorHAnsi" w:cs="Arial"/>
          <w:sz w:val="24"/>
          <w:szCs w:val="24"/>
        </w:rPr>
        <w:t>60 százalékkal nőtt az el</w:t>
      </w:r>
      <w:r w:rsidRPr="00B96231">
        <w:rPr>
          <w:rFonts w:asciiTheme="minorHAnsi" w:hAnsiTheme="minorHAnsi" w:cs="Arial"/>
          <w:sz w:val="24"/>
          <w:szCs w:val="24"/>
        </w:rPr>
        <w:t>ő</w:t>
      </w:r>
      <w:r w:rsidRPr="00B96231">
        <w:rPr>
          <w:rFonts w:asciiTheme="minorHAnsi" w:hAnsiTheme="minorHAnsi" w:cs="Arial"/>
          <w:sz w:val="24"/>
          <w:szCs w:val="24"/>
        </w:rPr>
        <w:t xml:space="preserve">zetesen regisztrált önkéntesek és a </w:t>
      </w:r>
      <w:r w:rsidR="00522C78">
        <w:rPr>
          <w:rFonts w:asciiTheme="minorHAnsi" w:hAnsiTheme="minorHAnsi" w:cs="Arial"/>
          <w:sz w:val="24"/>
          <w:szCs w:val="24"/>
        </w:rPr>
        <w:t>találkozási</w:t>
      </w:r>
      <w:r w:rsidR="00522C78" w:rsidRPr="00B96231">
        <w:rPr>
          <w:rFonts w:asciiTheme="minorHAnsi" w:hAnsiTheme="minorHAnsi" w:cs="Arial"/>
          <w:sz w:val="24"/>
          <w:szCs w:val="24"/>
        </w:rPr>
        <w:t xml:space="preserve"> </w:t>
      </w:r>
      <w:r w:rsidRPr="00B96231">
        <w:rPr>
          <w:rFonts w:asciiTheme="minorHAnsi" w:hAnsiTheme="minorHAnsi" w:cs="Arial"/>
          <w:sz w:val="24"/>
          <w:szCs w:val="24"/>
        </w:rPr>
        <w:t>pontok száma is. A szervezők ennek megfel</w:t>
      </w:r>
      <w:r w:rsidRPr="00B96231">
        <w:rPr>
          <w:rFonts w:asciiTheme="minorHAnsi" w:hAnsiTheme="minorHAnsi" w:cs="Arial"/>
          <w:sz w:val="24"/>
          <w:szCs w:val="24"/>
        </w:rPr>
        <w:t>e</w:t>
      </w:r>
      <w:r w:rsidRPr="00B96231">
        <w:rPr>
          <w:rFonts w:asciiTheme="minorHAnsi" w:hAnsiTheme="minorHAnsi" w:cs="Arial"/>
          <w:sz w:val="24"/>
          <w:szCs w:val="24"/>
        </w:rPr>
        <w:t>lően több eszközt készítettek elő a szemétszedéshez. Az előre bejelentett találkozási pont</w:t>
      </w:r>
      <w:r w:rsidRPr="00B96231">
        <w:rPr>
          <w:rFonts w:asciiTheme="minorHAnsi" w:hAnsiTheme="minorHAnsi" w:cs="Arial"/>
          <w:sz w:val="24"/>
          <w:szCs w:val="24"/>
        </w:rPr>
        <w:t>o</w:t>
      </w:r>
      <w:r w:rsidRPr="00B96231">
        <w:rPr>
          <w:rFonts w:asciiTheme="minorHAnsi" w:hAnsiTheme="minorHAnsi" w:cs="Arial"/>
          <w:sz w:val="24"/>
          <w:szCs w:val="24"/>
        </w:rPr>
        <w:t xml:space="preserve">kon </w:t>
      </w:r>
      <w:r w:rsidRPr="00522C78">
        <w:rPr>
          <w:rFonts w:asciiTheme="minorHAnsi" w:hAnsiTheme="minorHAnsi" w:cs="Arial"/>
          <w:sz w:val="24"/>
          <w:szCs w:val="24"/>
        </w:rPr>
        <w:t xml:space="preserve">országosan 170 ezer </w:t>
      </w:r>
      <w:proofErr w:type="spellStart"/>
      <w:r w:rsidRPr="00522C78">
        <w:rPr>
          <w:rFonts w:asciiTheme="minorHAnsi" w:hAnsiTheme="minorHAnsi" w:cs="Arial"/>
          <w:sz w:val="24"/>
          <w:szCs w:val="24"/>
        </w:rPr>
        <w:t>TeSzedd</w:t>
      </w:r>
      <w:proofErr w:type="spellEnd"/>
      <w:r w:rsidRPr="00522C78">
        <w:rPr>
          <w:rFonts w:asciiTheme="minorHAnsi" w:hAnsiTheme="minorHAnsi" w:cs="Arial"/>
          <w:sz w:val="24"/>
          <w:szCs w:val="24"/>
        </w:rPr>
        <w:t>!</w:t>
      </w:r>
      <w:proofErr w:type="spellStart"/>
      <w:r w:rsidRPr="00522C78">
        <w:rPr>
          <w:rFonts w:asciiTheme="minorHAnsi" w:hAnsiTheme="minorHAnsi" w:cs="Arial"/>
          <w:sz w:val="24"/>
          <w:szCs w:val="24"/>
        </w:rPr>
        <w:t>-logóval</w:t>
      </w:r>
      <w:proofErr w:type="spellEnd"/>
      <w:r w:rsidRPr="00522C78">
        <w:rPr>
          <w:rFonts w:asciiTheme="minorHAnsi" w:hAnsiTheme="minorHAnsi" w:cs="Arial"/>
          <w:sz w:val="24"/>
          <w:szCs w:val="24"/>
        </w:rPr>
        <w:t xml:space="preserve"> ellátott zsákot és 300 ezer pár gumikesztyűt</w:t>
      </w:r>
      <w:r w:rsidRPr="00B96231">
        <w:rPr>
          <w:rFonts w:asciiTheme="minorHAnsi" w:hAnsiTheme="minorHAnsi" w:cs="Arial"/>
          <w:sz w:val="24"/>
          <w:szCs w:val="24"/>
        </w:rPr>
        <w:t xml:space="preserve"> os</w:t>
      </w:r>
      <w:r w:rsidRPr="00B96231">
        <w:rPr>
          <w:rFonts w:asciiTheme="minorHAnsi" w:hAnsiTheme="minorHAnsi" w:cs="Arial"/>
          <w:sz w:val="24"/>
          <w:szCs w:val="24"/>
        </w:rPr>
        <w:t>z</w:t>
      </w:r>
      <w:r w:rsidRPr="00B96231">
        <w:rPr>
          <w:rFonts w:asciiTheme="minorHAnsi" w:hAnsiTheme="minorHAnsi" w:cs="Arial"/>
          <w:sz w:val="24"/>
          <w:szCs w:val="24"/>
        </w:rPr>
        <w:t>tanak szét az önkénteseknek.</w:t>
      </w:r>
      <w:r w:rsidRPr="00B96231">
        <w:rPr>
          <w:rFonts w:asciiTheme="minorHAnsi" w:hAnsiTheme="minorHAnsi"/>
        </w:rPr>
        <w:t xml:space="preserve"> </w:t>
      </w:r>
    </w:p>
    <w:p w:rsidR="00650D8C" w:rsidRPr="00B96231" w:rsidRDefault="00650D8C" w:rsidP="00B96231">
      <w:pPr>
        <w:spacing w:after="0"/>
        <w:jc w:val="both"/>
        <w:rPr>
          <w:rFonts w:asciiTheme="minorHAnsi" w:hAnsiTheme="minorHAnsi"/>
        </w:rPr>
      </w:pP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96231">
        <w:rPr>
          <w:rFonts w:asciiTheme="minorHAnsi" w:hAnsiTheme="minorHAnsi" w:cs="Arial"/>
          <w:sz w:val="24"/>
          <w:szCs w:val="24"/>
        </w:rPr>
        <w:t>A Fegyverneken létrehozott találkozási pontra 250 fő regisztrált előzetesen, még óvodás k</w:t>
      </w:r>
      <w:r w:rsidRPr="00B96231">
        <w:rPr>
          <w:rFonts w:asciiTheme="minorHAnsi" w:hAnsiTheme="minorHAnsi" w:cs="Arial"/>
          <w:sz w:val="24"/>
          <w:szCs w:val="24"/>
        </w:rPr>
        <w:t>o</w:t>
      </w:r>
      <w:r w:rsidRPr="00B96231">
        <w:rPr>
          <w:rFonts w:asciiTheme="minorHAnsi" w:hAnsiTheme="minorHAnsi" w:cs="Arial"/>
          <w:sz w:val="24"/>
          <w:szCs w:val="24"/>
        </w:rPr>
        <w:t>rúak is érkeztek az akcióra.</w:t>
      </w: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96231">
        <w:rPr>
          <w:rFonts w:asciiTheme="minorHAnsi" w:hAnsiTheme="minorHAnsi" w:cs="Arial"/>
          <w:sz w:val="24"/>
          <w:szCs w:val="24"/>
        </w:rPr>
        <w:t xml:space="preserve">A Teszedd! </w:t>
      </w:r>
      <w:proofErr w:type="gramStart"/>
      <w:r w:rsidRPr="00B96231">
        <w:rPr>
          <w:rFonts w:asciiTheme="minorHAnsi" w:hAnsiTheme="minorHAnsi" w:cs="Arial"/>
          <w:sz w:val="24"/>
          <w:szCs w:val="24"/>
        </w:rPr>
        <w:t>célja</w:t>
      </w:r>
      <w:proofErr w:type="gramEnd"/>
      <w:r w:rsidRPr="00B96231">
        <w:rPr>
          <w:rFonts w:asciiTheme="minorHAnsi" w:hAnsiTheme="minorHAnsi" w:cs="Arial"/>
          <w:sz w:val="24"/>
          <w:szCs w:val="24"/>
        </w:rPr>
        <w:t>, hogy összefogja azokat az embereket, akik tenni akarnak azért, hogy tis</w:t>
      </w:r>
      <w:r w:rsidRPr="00B96231">
        <w:rPr>
          <w:rFonts w:asciiTheme="minorHAnsi" w:hAnsiTheme="minorHAnsi" w:cs="Arial"/>
          <w:sz w:val="24"/>
          <w:szCs w:val="24"/>
        </w:rPr>
        <w:t>z</w:t>
      </w:r>
      <w:r w:rsidRPr="00B96231">
        <w:rPr>
          <w:rFonts w:asciiTheme="minorHAnsi" w:hAnsiTheme="minorHAnsi" w:cs="Arial"/>
          <w:sz w:val="24"/>
          <w:szCs w:val="24"/>
        </w:rPr>
        <w:t>tább környezetben éljenek, hogy eltűnjenek az illegálisan lerakott, gazdátlan szemétkupacok. Az országos szemétgyűjtési akció hosszú távon azt szeretné elérni, hogy el se dobjuk a sz</w:t>
      </w:r>
      <w:r w:rsidRPr="00B96231">
        <w:rPr>
          <w:rFonts w:asciiTheme="minorHAnsi" w:hAnsiTheme="minorHAnsi" w:cs="Arial"/>
          <w:sz w:val="24"/>
          <w:szCs w:val="24"/>
        </w:rPr>
        <w:t>e</w:t>
      </w:r>
      <w:r w:rsidRPr="00B96231">
        <w:rPr>
          <w:rFonts w:asciiTheme="minorHAnsi" w:hAnsiTheme="minorHAnsi" w:cs="Arial"/>
          <w:sz w:val="24"/>
          <w:szCs w:val="24"/>
        </w:rPr>
        <w:t>metet, és vegyük fel a harcot azokkal szemben, akik illegális szemétlerakókat hoznak létre.</w:t>
      </w: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96231">
        <w:rPr>
          <w:rFonts w:asciiTheme="minorHAnsi" w:hAnsiTheme="minorHAnsi" w:cs="Arial"/>
          <w:sz w:val="24"/>
          <w:szCs w:val="24"/>
        </w:rPr>
        <w:t>A miniszter külön köszönetet mondott a Jász-Nagykun-Szolnok megyeieknek, akik lakosság számát tekintve kiugró arányban vesznek részt az akcióban. A megyében 8610 önkéntes j</w:t>
      </w:r>
      <w:r w:rsidRPr="00B96231">
        <w:rPr>
          <w:rFonts w:asciiTheme="minorHAnsi" w:hAnsiTheme="minorHAnsi" w:cs="Arial"/>
          <w:sz w:val="24"/>
          <w:szCs w:val="24"/>
        </w:rPr>
        <w:t>e</w:t>
      </w:r>
      <w:r w:rsidRPr="00B96231">
        <w:rPr>
          <w:rFonts w:asciiTheme="minorHAnsi" w:hAnsiTheme="minorHAnsi" w:cs="Arial"/>
          <w:sz w:val="24"/>
          <w:szCs w:val="24"/>
        </w:rPr>
        <w:t xml:space="preserve">lentkezett 84 találkozási pontot hozva létre, ami Budapest és Pest megye után a legtöbb. </w:t>
      </w:r>
      <w:r w:rsidRPr="00B96231">
        <w:rPr>
          <w:rFonts w:asciiTheme="minorHAnsi" w:hAnsiTheme="minorHAnsi" w:cs="Arial"/>
          <w:sz w:val="24"/>
          <w:szCs w:val="24"/>
        </w:rPr>
        <w:lastRenderedPageBreak/>
        <w:t>Budapesten 214 találkozási pontra 17</w:t>
      </w:r>
      <w:r w:rsidR="00E92D17">
        <w:rPr>
          <w:rFonts w:asciiTheme="minorHAnsi" w:hAnsiTheme="minorHAnsi" w:cs="Arial"/>
          <w:sz w:val="24"/>
          <w:szCs w:val="24"/>
        </w:rPr>
        <w:t>.</w:t>
      </w:r>
      <w:r w:rsidRPr="00B96231">
        <w:rPr>
          <w:rFonts w:asciiTheme="minorHAnsi" w:hAnsiTheme="minorHAnsi" w:cs="Arial"/>
          <w:sz w:val="24"/>
          <w:szCs w:val="24"/>
        </w:rPr>
        <w:t>136 önkéntes, Pest megyében 206 találkozási pontra 13</w:t>
      </w:r>
      <w:r w:rsidR="00E92D17">
        <w:rPr>
          <w:rFonts w:asciiTheme="minorHAnsi" w:hAnsiTheme="minorHAnsi" w:cs="Arial"/>
          <w:sz w:val="24"/>
          <w:szCs w:val="24"/>
        </w:rPr>
        <w:t>.</w:t>
      </w:r>
      <w:r w:rsidRPr="00B96231">
        <w:rPr>
          <w:rFonts w:asciiTheme="minorHAnsi" w:hAnsiTheme="minorHAnsi" w:cs="Arial"/>
          <w:sz w:val="24"/>
          <w:szCs w:val="24"/>
        </w:rPr>
        <w:t>548 önkéntes jelentkezett.</w:t>
      </w: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96231">
        <w:rPr>
          <w:rFonts w:asciiTheme="minorHAnsi" w:hAnsiTheme="minorHAnsi" w:cs="Arial"/>
          <w:sz w:val="24"/>
          <w:szCs w:val="24"/>
        </w:rPr>
        <w:t>Az elmúlt évek tapasztalatai és az előzetes regisztráció alapján összesen 180–200 ezer ö</w:t>
      </w:r>
      <w:r w:rsidRPr="00B96231">
        <w:rPr>
          <w:rFonts w:asciiTheme="minorHAnsi" w:hAnsiTheme="minorHAnsi" w:cs="Arial"/>
          <w:sz w:val="24"/>
          <w:szCs w:val="24"/>
        </w:rPr>
        <w:t>n</w:t>
      </w:r>
      <w:r w:rsidRPr="00B96231">
        <w:rPr>
          <w:rFonts w:asciiTheme="minorHAnsi" w:hAnsiTheme="minorHAnsi" w:cs="Arial"/>
          <w:sz w:val="24"/>
          <w:szCs w:val="24"/>
        </w:rPr>
        <w:t xml:space="preserve">kéntesre számítunk az idei </w:t>
      </w:r>
      <w:proofErr w:type="spellStart"/>
      <w:r w:rsidRPr="00B96231">
        <w:rPr>
          <w:rFonts w:asciiTheme="minorHAnsi" w:hAnsiTheme="minorHAnsi" w:cs="Arial"/>
          <w:sz w:val="24"/>
          <w:szCs w:val="24"/>
        </w:rPr>
        <w:t>TeSzedd</w:t>
      </w:r>
      <w:proofErr w:type="spellEnd"/>
      <w:r w:rsidRPr="00B96231">
        <w:rPr>
          <w:rFonts w:asciiTheme="minorHAnsi" w:hAnsiTheme="minorHAnsi" w:cs="Arial"/>
          <w:sz w:val="24"/>
          <w:szCs w:val="24"/>
        </w:rPr>
        <w:t>!</w:t>
      </w:r>
      <w:proofErr w:type="spellStart"/>
      <w:r w:rsidRPr="00B96231">
        <w:rPr>
          <w:rFonts w:asciiTheme="minorHAnsi" w:hAnsiTheme="minorHAnsi" w:cs="Arial"/>
          <w:sz w:val="24"/>
          <w:szCs w:val="24"/>
        </w:rPr>
        <w:t>-en</w:t>
      </w:r>
      <w:proofErr w:type="spellEnd"/>
      <w:r w:rsidRPr="00B96231">
        <w:rPr>
          <w:rFonts w:asciiTheme="minorHAnsi" w:hAnsiTheme="minorHAnsi" w:cs="Arial"/>
          <w:sz w:val="24"/>
          <w:szCs w:val="24"/>
        </w:rPr>
        <w:t>– mondta az</w:t>
      </w:r>
      <w:r w:rsidR="00866DAD">
        <w:rPr>
          <w:rFonts w:asciiTheme="minorHAnsi" w:hAnsiTheme="minorHAnsi" w:cs="Arial"/>
          <w:sz w:val="24"/>
          <w:szCs w:val="24"/>
        </w:rPr>
        <w:t xml:space="preserve"> </w:t>
      </w:r>
      <w:r w:rsidRPr="00B96231">
        <w:rPr>
          <w:rFonts w:asciiTheme="minorHAnsi" w:hAnsiTheme="minorHAnsi" w:cs="Arial"/>
          <w:sz w:val="24"/>
          <w:szCs w:val="24"/>
        </w:rPr>
        <w:t>Országos Hulladékgazdálkodási Ügynö</w:t>
      </w:r>
      <w:r w:rsidRPr="00B96231">
        <w:rPr>
          <w:rFonts w:asciiTheme="minorHAnsi" w:hAnsiTheme="minorHAnsi" w:cs="Arial"/>
          <w:sz w:val="24"/>
          <w:szCs w:val="24"/>
        </w:rPr>
        <w:t>k</w:t>
      </w:r>
      <w:r w:rsidRPr="00B96231">
        <w:rPr>
          <w:rFonts w:asciiTheme="minorHAnsi" w:hAnsiTheme="minorHAnsi" w:cs="Arial"/>
          <w:sz w:val="24"/>
          <w:szCs w:val="24"/>
        </w:rPr>
        <w:t>ség</w:t>
      </w:r>
      <w:r w:rsidR="00866DAD">
        <w:rPr>
          <w:rFonts w:asciiTheme="minorHAnsi" w:hAnsiTheme="minorHAnsi" w:cs="Arial"/>
          <w:sz w:val="24"/>
          <w:szCs w:val="24"/>
        </w:rPr>
        <w:t xml:space="preserve"> </w:t>
      </w:r>
      <w:r w:rsidRPr="00B96231">
        <w:rPr>
          <w:rFonts w:asciiTheme="minorHAnsi" w:hAnsiTheme="minorHAnsi" w:cs="Arial"/>
          <w:sz w:val="24"/>
          <w:szCs w:val="24"/>
        </w:rPr>
        <w:t xml:space="preserve">(OHÜ) ügyvezetője a megnyitón. Vámosi Oszkár hozzátette: </w:t>
      </w:r>
      <w:r w:rsidRPr="00522C78">
        <w:rPr>
          <w:rFonts w:asciiTheme="minorHAnsi" w:hAnsiTheme="minorHAnsi" w:cs="Arial"/>
          <w:sz w:val="24"/>
          <w:szCs w:val="24"/>
        </w:rPr>
        <w:t>jó esély van arra, hogy az önkéntesek túlszárnyalják a tavalyi eredmény</w:t>
      </w:r>
      <w:r w:rsidRPr="00522C78">
        <w:rPr>
          <w:rFonts w:asciiTheme="minorHAnsi" w:hAnsiTheme="minorHAnsi" w:cs="Arial"/>
          <w:sz w:val="24"/>
          <w:szCs w:val="24"/>
        </w:rPr>
        <w:t>e</w:t>
      </w:r>
      <w:r w:rsidRPr="00522C78">
        <w:rPr>
          <w:rFonts w:asciiTheme="minorHAnsi" w:hAnsiTheme="minorHAnsi" w:cs="Arial"/>
          <w:sz w:val="24"/>
          <w:szCs w:val="24"/>
        </w:rPr>
        <w:t>ket. Az elmúlt év</w:t>
      </w:r>
      <w:r w:rsidR="00522C78" w:rsidRPr="00522C78">
        <w:rPr>
          <w:rFonts w:asciiTheme="minorHAnsi" w:hAnsiTheme="minorHAnsi" w:cs="Arial"/>
          <w:sz w:val="24"/>
          <w:szCs w:val="24"/>
        </w:rPr>
        <w:t>ek</w:t>
      </w:r>
      <w:r w:rsidRPr="00522C78">
        <w:rPr>
          <w:rFonts w:asciiTheme="minorHAnsi" w:hAnsiTheme="minorHAnsi" w:cs="Arial"/>
          <w:sz w:val="24"/>
          <w:szCs w:val="24"/>
        </w:rPr>
        <w:t xml:space="preserve">ben </w:t>
      </w:r>
      <w:r w:rsidR="00522C78" w:rsidRPr="00522C78">
        <w:rPr>
          <w:rFonts w:asciiTheme="minorHAnsi" w:hAnsiTheme="minorHAnsi" w:cs="Arial"/>
          <w:sz w:val="24"/>
          <w:szCs w:val="24"/>
        </w:rPr>
        <w:t>2-3</w:t>
      </w:r>
      <w:r w:rsidRPr="00522C78">
        <w:rPr>
          <w:rFonts w:asciiTheme="minorHAnsi" w:hAnsiTheme="minorHAnsi" w:cs="Arial"/>
          <w:sz w:val="24"/>
          <w:szCs w:val="24"/>
        </w:rPr>
        <w:t xml:space="preserve">000 tonna szemét gyűlt össze </w:t>
      </w:r>
      <w:r w:rsidR="00522C78" w:rsidRPr="00522C78">
        <w:rPr>
          <w:rFonts w:asciiTheme="minorHAnsi" w:hAnsiTheme="minorHAnsi" w:cs="Arial"/>
          <w:sz w:val="24"/>
          <w:szCs w:val="24"/>
        </w:rPr>
        <w:t>egy</w:t>
      </w:r>
      <w:r w:rsidR="003B6807">
        <w:rPr>
          <w:rFonts w:asciiTheme="minorHAnsi" w:hAnsiTheme="minorHAnsi" w:cs="Arial"/>
          <w:sz w:val="24"/>
          <w:szCs w:val="24"/>
        </w:rPr>
        <w:t xml:space="preserve">-egy </w:t>
      </w:r>
      <w:r w:rsidR="00522C78" w:rsidRPr="00522C78">
        <w:rPr>
          <w:rFonts w:asciiTheme="minorHAnsi" w:hAnsiTheme="minorHAnsi" w:cs="Arial"/>
          <w:sz w:val="24"/>
          <w:szCs w:val="24"/>
        </w:rPr>
        <w:t xml:space="preserve">akcióban </w:t>
      </w:r>
      <w:r w:rsidRPr="00522C78">
        <w:rPr>
          <w:rFonts w:asciiTheme="minorHAnsi" w:hAnsiTheme="minorHAnsi" w:cs="Arial"/>
          <w:sz w:val="24"/>
          <w:szCs w:val="24"/>
        </w:rPr>
        <w:t>és került biztonságos lerakókba, ez a mennyiség 50 villanymo</w:t>
      </w:r>
      <w:r w:rsidRPr="00522C78">
        <w:rPr>
          <w:rFonts w:asciiTheme="minorHAnsi" w:hAnsiTheme="minorHAnsi" w:cs="Arial"/>
          <w:sz w:val="24"/>
          <w:szCs w:val="24"/>
        </w:rPr>
        <w:t>z</w:t>
      </w:r>
      <w:r w:rsidRPr="00522C78">
        <w:rPr>
          <w:rFonts w:asciiTheme="minorHAnsi" w:hAnsiTheme="minorHAnsi" w:cs="Arial"/>
          <w:sz w:val="24"/>
          <w:szCs w:val="24"/>
        </w:rPr>
        <w:t>dony súlyának felel meg.</w:t>
      </w:r>
      <w:r w:rsidRPr="00B96231">
        <w:rPr>
          <w:rFonts w:asciiTheme="minorHAnsi" w:hAnsiTheme="minorHAnsi" w:cs="Arial"/>
          <w:sz w:val="24"/>
          <w:szCs w:val="24"/>
        </w:rPr>
        <w:t xml:space="preserve"> </w:t>
      </w: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96231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Pr="00B96231">
        <w:rPr>
          <w:rFonts w:asciiTheme="minorHAnsi" w:hAnsiTheme="minorHAnsi" w:cs="Arial"/>
          <w:sz w:val="24"/>
          <w:szCs w:val="24"/>
        </w:rPr>
        <w:t>TeSzedd</w:t>
      </w:r>
      <w:proofErr w:type="spellEnd"/>
      <w:r w:rsidRPr="00B96231">
        <w:rPr>
          <w:rFonts w:asciiTheme="minorHAnsi" w:hAnsiTheme="minorHAnsi" w:cs="Arial"/>
          <w:sz w:val="24"/>
          <w:szCs w:val="24"/>
        </w:rPr>
        <w:t xml:space="preserve">! </w:t>
      </w:r>
      <w:proofErr w:type="gramStart"/>
      <w:r w:rsidRPr="00B96231">
        <w:rPr>
          <w:rFonts w:asciiTheme="minorHAnsi" w:hAnsiTheme="minorHAnsi" w:cs="Arial"/>
          <w:sz w:val="24"/>
          <w:szCs w:val="24"/>
        </w:rPr>
        <w:t>keretében</w:t>
      </w:r>
      <w:proofErr w:type="gramEnd"/>
      <w:r w:rsidRPr="00B96231">
        <w:rPr>
          <w:rFonts w:asciiTheme="minorHAnsi" w:hAnsiTheme="minorHAnsi" w:cs="Arial"/>
          <w:sz w:val="24"/>
          <w:szCs w:val="24"/>
        </w:rPr>
        <w:t xml:space="preserve"> Fegyverneken labdarúgótornát, esszéíró versenyt és rajzpályázatot is hirdettek, így a résztvevő gyerekek és felnőttek egyaránt jól szórakoztak a munka után.</w:t>
      </w:r>
      <w:bookmarkStart w:id="0" w:name="_GoBack"/>
      <w:bookmarkEnd w:id="0"/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50D8C" w:rsidRPr="00B96231" w:rsidRDefault="00650D8C" w:rsidP="00B96231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96231">
        <w:rPr>
          <w:rFonts w:asciiTheme="minorHAnsi" w:hAnsiTheme="minorHAnsi" w:cs="Arial"/>
          <w:sz w:val="24"/>
          <w:szCs w:val="24"/>
        </w:rPr>
        <w:t xml:space="preserve">A Vidékfejlesztési Minisztériummal karöltve, a Közigazgatási és Igazságügyi Minisztérium, az Emberi Erőforrások Minisztériuma, valamint a Magyar Posta és az MTVA is hozzájárult az Országos Hulladékgazdálkodási Ügynökség által szervezett akció sikeréhez. </w:t>
      </w:r>
    </w:p>
    <w:p w:rsidR="003B2725" w:rsidRPr="00B96231" w:rsidRDefault="003B2725" w:rsidP="00E35831">
      <w:pPr>
        <w:tabs>
          <w:tab w:val="left" w:pos="3195"/>
        </w:tabs>
        <w:jc w:val="center"/>
        <w:rPr>
          <w:rFonts w:asciiTheme="minorHAnsi" w:hAnsiTheme="minorHAnsi"/>
          <w:sz w:val="24"/>
          <w:szCs w:val="24"/>
        </w:rPr>
      </w:pPr>
    </w:p>
    <w:p w:rsidR="00B96231" w:rsidRPr="00B96231" w:rsidRDefault="00B96231" w:rsidP="00B96231">
      <w:pPr>
        <w:pStyle w:val="Nincstrkz"/>
        <w:spacing w:line="276" w:lineRule="auto"/>
        <w:rPr>
          <w:rFonts w:asciiTheme="minorHAnsi" w:hAnsiTheme="minorHAnsi"/>
          <w:b/>
          <w:i/>
        </w:rPr>
      </w:pPr>
      <w:r w:rsidRPr="00B96231">
        <w:rPr>
          <w:rFonts w:asciiTheme="minorHAnsi" w:hAnsiTheme="minorHAnsi"/>
          <w:b/>
          <w:i/>
        </w:rPr>
        <w:t>További információ:</w:t>
      </w:r>
    </w:p>
    <w:p w:rsidR="00B96231" w:rsidRPr="00B96231" w:rsidRDefault="00B96231" w:rsidP="00B96231">
      <w:pPr>
        <w:pStyle w:val="Nincstrkz"/>
        <w:spacing w:line="276" w:lineRule="auto"/>
        <w:rPr>
          <w:rFonts w:asciiTheme="minorHAnsi" w:hAnsiTheme="minorHAnsi"/>
        </w:rPr>
      </w:pPr>
      <w:r w:rsidRPr="00B96231">
        <w:rPr>
          <w:rFonts w:asciiTheme="minorHAnsi" w:hAnsiTheme="minorHAnsi"/>
        </w:rPr>
        <w:t>OHÜ Országos Hulladékgazdálkodási Ügynökség Nonprofit Kft.</w:t>
      </w:r>
    </w:p>
    <w:p w:rsidR="00B96231" w:rsidRPr="00B96231" w:rsidRDefault="00B96231" w:rsidP="00B96231">
      <w:pPr>
        <w:pStyle w:val="Nincstrkz"/>
        <w:spacing w:line="276" w:lineRule="auto"/>
        <w:rPr>
          <w:rFonts w:asciiTheme="minorHAnsi" w:hAnsiTheme="minorHAnsi"/>
        </w:rPr>
      </w:pPr>
      <w:r w:rsidRPr="00B96231">
        <w:rPr>
          <w:rFonts w:asciiTheme="minorHAnsi" w:hAnsiTheme="minorHAnsi"/>
        </w:rPr>
        <w:t>Kancsár Mónika</w:t>
      </w:r>
    </w:p>
    <w:p w:rsidR="00B96231" w:rsidRPr="00B96231" w:rsidRDefault="00B96231" w:rsidP="00B96231">
      <w:pPr>
        <w:pStyle w:val="Nincstrkz"/>
        <w:spacing w:line="276" w:lineRule="auto"/>
        <w:rPr>
          <w:rFonts w:asciiTheme="minorHAnsi" w:hAnsiTheme="minorHAnsi"/>
        </w:rPr>
      </w:pPr>
      <w:r w:rsidRPr="00B96231">
        <w:rPr>
          <w:rFonts w:asciiTheme="minorHAnsi" w:hAnsiTheme="minorHAnsi"/>
        </w:rPr>
        <w:t xml:space="preserve"> 70/777-1247</w:t>
      </w:r>
    </w:p>
    <w:p w:rsidR="00B96231" w:rsidRPr="00B96231" w:rsidRDefault="00B96231" w:rsidP="00B96231">
      <w:pPr>
        <w:pStyle w:val="Nincstrkz"/>
        <w:spacing w:line="276" w:lineRule="auto"/>
        <w:rPr>
          <w:rFonts w:asciiTheme="minorHAnsi" w:hAnsiTheme="minorHAnsi"/>
        </w:rPr>
      </w:pPr>
      <w:r w:rsidRPr="00B96231">
        <w:rPr>
          <w:rFonts w:asciiTheme="minorHAnsi" w:hAnsiTheme="minorHAnsi"/>
        </w:rPr>
        <w:t>kancsar.monika@ohukft.hu</w:t>
      </w:r>
    </w:p>
    <w:sectPr w:rsidR="00B96231" w:rsidRPr="00B96231" w:rsidSect="00153784">
      <w:headerReference w:type="default" r:id="rId8"/>
      <w:footerReference w:type="default" r:id="rId9"/>
      <w:pgSz w:w="11906" w:h="16838"/>
      <w:pgMar w:top="2410" w:right="1417" w:bottom="1702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56" w:rsidRDefault="00A14D56" w:rsidP="0006783F">
      <w:pPr>
        <w:spacing w:after="0" w:line="240" w:lineRule="auto"/>
      </w:pPr>
      <w:r>
        <w:separator/>
      </w:r>
    </w:p>
  </w:endnote>
  <w:endnote w:type="continuationSeparator" w:id="0">
    <w:p w:rsidR="00A14D56" w:rsidRDefault="00A14D56" w:rsidP="0006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974"/>
      <w:gridCol w:w="2797"/>
      <w:gridCol w:w="1841"/>
      <w:gridCol w:w="1502"/>
      <w:gridCol w:w="1174"/>
    </w:tblGrid>
    <w:tr w:rsidR="003B2725" w:rsidRPr="00884903" w:rsidTr="00884903">
      <w:trPr>
        <w:jc w:val="center"/>
      </w:trPr>
      <w:tc>
        <w:tcPr>
          <w:tcW w:w="1082" w:type="pct"/>
          <w:tcBorders>
            <w:top w:val="single" w:sz="4" w:space="0" w:color="auto"/>
          </w:tcBorders>
          <w:vAlign w:val="center"/>
        </w:tcPr>
        <w:p w:rsidR="003B2725" w:rsidRPr="00884903" w:rsidRDefault="00D55E3E" w:rsidP="00884903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778510" cy="760730"/>
                <wp:effectExtent l="0" t="0" r="2540" b="1270"/>
                <wp:docPr id="2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5" w:type="pct"/>
          <w:tcBorders>
            <w:top w:val="single" w:sz="4" w:space="0" w:color="auto"/>
          </w:tcBorders>
          <w:vAlign w:val="center"/>
        </w:tcPr>
        <w:p w:rsidR="003B2725" w:rsidRPr="00884903" w:rsidRDefault="00D55E3E" w:rsidP="00884903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575435" cy="760730"/>
                <wp:effectExtent l="0" t="0" r="5715" b="1270"/>
                <wp:docPr id="3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" w:type="pct"/>
          <w:tcBorders>
            <w:top w:val="single" w:sz="4" w:space="0" w:color="auto"/>
          </w:tcBorders>
          <w:vAlign w:val="center"/>
        </w:tcPr>
        <w:p w:rsidR="003B2725" w:rsidRPr="00884903" w:rsidRDefault="00D55E3E" w:rsidP="00884903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031875" cy="706120"/>
                <wp:effectExtent l="0" t="0" r="0" b="0"/>
                <wp:docPr id="4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" w:type="pct"/>
          <w:tcBorders>
            <w:top w:val="single" w:sz="4" w:space="0" w:color="auto"/>
          </w:tcBorders>
          <w:vAlign w:val="center"/>
        </w:tcPr>
        <w:p w:rsidR="003B2725" w:rsidRPr="00884903" w:rsidRDefault="00D55E3E" w:rsidP="00884903">
          <w:pPr>
            <w:pStyle w:val="llb"/>
            <w:jc w:val="center"/>
            <w:rPr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480060" cy="760730"/>
                <wp:effectExtent l="0" t="0" r="0" b="1270"/>
                <wp:docPr id="5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" w:type="pct"/>
          <w:tcBorders>
            <w:top w:val="single" w:sz="4" w:space="0" w:color="auto"/>
          </w:tcBorders>
          <w:vAlign w:val="center"/>
        </w:tcPr>
        <w:p w:rsidR="003B2725" w:rsidRPr="00884903" w:rsidRDefault="00D55E3E" w:rsidP="00884903">
          <w:pPr>
            <w:pStyle w:val="llb"/>
            <w:jc w:val="center"/>
            <w:rPr>
              <w:rFonts w:cs="Calibri"/>
              <w:noProof/>
              <w:sz w:val="24"/>
              <w:szCs w:val="24"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497840" cy="760730"/>
                <wp:effectExtent l="0" t="0" r="0" b="1270"/>
                <wp:docPr id="6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2725" w:rsidRDefault="003B27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56" w:rsidRDefault="00A14D56" w:rsidP="0006783F">
      <w:pPr>
        <w:spacing w:after="0" w:line="240" w:lineRule="auto"/>
      </w:pPr>
      <w:r>
        <w:separator/>
      </w:r>
    </w:p>
  </w:footnote>
  <w:footnote w:type="continuationSeparator" w:id="0">
    <w:p w:rsidR="00A14D56" w:rsidRDefault="00A14D56" w:rsidP="0006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25" w:rsidRDefault="00650D8C" w:rsidP="00B96231">
    <w:pPr>
      <w:pStyle w:val="lfej"/>
    </w:pPr>
    <w:r w:rsidRPr="00425B5A">
      <w:rPr>
        <w:sz w:val="40"/>
        <w:szCs w:val="40"/>
      </w:rPr>
      <w:t>SAJTÓ</w:t>
    </w:r>
    <w:r>
      <w:rPr>
        <w:sz w:val="40"/>
        <w:szCs w:val="40"/>
      </w:rPr>
      <w:t xml:space="preserve">KÖZLEMÉNY </w:t>
    </w:r>
    <w:r>
      <w:rPr>
        <w:sz w:val="40"/>
        <w:szCs w:val="40"/>
      </w:rPr>
      <w:tab/>
    </w:r>
    <w:r>
      <w:rPr>
        <w:sz w:val="40"/>
        <w:szCs w:val="40"/>
      </w:rPr>
      <w:tab/>
    </w:r>
    <w:r w:rsidR="00D55E3E">
      <w:rPr>
        <w:noProof/>
        <w:lang w:eastAsia="hu-HU"/>
      </w:rPr>
      <w:drawing>
        <wp:inline distT="0" distB="0" distL="0" distR="0">
          <wp:extent cx="1267460" cy="895985"/>
          <wp:effectExtent l="0" t="0" r="8890" b="0"/>
          <wp:docPr id="1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794"/>
    <w:multiLevelType w:val="hybridMultilevel"/>
    <w:tmpl w:val="69C4E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B253507"/>
    <w:multiLevelType w:val="hybridMultilevel"/>
    <w:tmpl w:val="31DAD2B4"/>
    <w:lvl w:ilvl="0" w:tplc="24C4B9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3F"/>
    <w:rsid w:val="00054A1C"/>
    <w:rsid w:val="0006783F"/>
    <w:rsid w:val="00082A1A"/>
    <w:rsid w:val="000B35E0"/>
    <w:rsid w:val="00101FAD"/>
    <w:rsid w:val="001351F8"/>
    <w:rsid w:val="00136735"/>
    <w:rsid w:val="00153784"/>
    <w:rsid w:val="00172008"/>
    <w:rsid w:val="001915E3"/>
    <w:rsid w:val="001B4409"/>
    <w:rsid w:val="001C35C9"/>
    <w:rsid w:val="001E4D35"/>
    <w:rsid w:val="00220416"/>
    <w:rsid w:val="00254CD8"/>
    <w:rsid w:val="002D4E29"/>
    <w:rsid w:val="00305490"/>
    <w:rsid w:val="00312EB9"/>
    <w:rsid w:val="00395A01"/>
    <w:rsid w:val="003B2725"/>
    <w:rsid w:val="003B6807"/>
    <w:rsid w:val="003C1284"/>
    <w:rsid w:val="003D64DA"/>
    <w:rsid w:val="003E20A3"/>
    <w:rsid w:val="004137A6"/>
    <w:rsid w:val="004F2081"/>
    <w:rsid w:val="00522C78"/>
    <w:rsid w:val="0057349F"/>
    <w:rsid w:val="00590402"/>
    <w:rsid w:val="005A313F"/>
    <w:rsid w:val="005F09F9"/>
    <w:rsid w:val="005F5DE3"/>
    <w:rsid w:val="00650D8C"/>
    <w:rsid w:val="006863A5"/>
    <w:rsid w:val="006C61B1"/>
    <w:rsid w:val="006D34F9"/>
    <w:rsid w:val="00725D7A"/>
    <w:rsid w:val="00770D7D"/>
    <w:rsid w:val="00801408"/>
    <w:rsid w:val="0085428D"/>
    <w:rsid w:val="0086618B"/>
    <w:rsid w:val="00866DAD"/>
    <w:rsid w:val="00877496"/>
    <w:rsid w:val="00884903"/>
    <w:rsid w:val="00884DE8"/>
    <w:rsid w:val="008D6B59"/>
    <w:rsid w:val="00934A7A"/>
    <w:rsid w:val="00943425"/>
    <w:rsid w:val="009D7FF9"/>
    <w:rsid w:val="00A14D56"/>
    <w:rsid w:val="00A51AA5"/>
    <w:rsid w:val="00A942E9"/>
    <w:rsid w:val="00B40F9D"/>
    <w:rsid w:val="00B5090F"/>
    <w:rsid w:val="00B53FC3"/>
    <w:rsid w:val="00B96231"/>
    <w:rsid w:val="00BB339C"/>
    <w:rsid w:val="00BC608D"/>
    <w:rsid w:val="00BF10FE"/>
    <w:rsid w:val="00BF2ED9"/>
    <w:rsid w:val="00C026E1"/>
    <w:rsid w:val="00C1494A"/>
    <w:rsid w:val="00C52574"/>
    <w:rsid w:val="00C533E9"/>
    <w:rsid w:val="00C63135"/>
    <w:rsid w:val="00D01363"/>
    <w:rsid w:val="00D3004A"/>
    <w:rsid w:val="00D55E3E"/>
    <w:rsid w:val="00D71122"/>
    <w:rsid w:val="00DC0C97"/>
    <w:rsid w:val="00E35831"/>
    <w:rsid w:val="00E7557C"/>
    <w:rsid w:val="00E92D17"/>
    <w:rsid w:val="00F16902"/>
    <w:rsid w:val="00F65324"/>
    <w:rsid w:val="00FA39A6"/>
    <w:rsid w:val="00FA3EB0"/>
    <w:rsid w:val="00FA7BED"/>
    <w:rsid w:val="00FC43E8"/>
    <w:rsid w:val="00FE1D0D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CD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6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6783F"/>
    <w:rPr>
      <w:rFonts w:cs="Times New Roman"/>
    </w:rPr>
  </w:style>
  <w:style w:type="paragraph" w:styleId="llb">
    <w:name w:val="footer"/>
    <w:basedOn w:val="Norml"/>
    <w:link w:val="llbChar"/>
    <w:uiPriority w:val="99"/>
    <w:rsid w:val="0006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6783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6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78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5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5257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52574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6C61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61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61B1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Kiemels2">
    <w:name w:val="Strong"/>
    <w:basedOn w:val="Bekezdsalapbettpusa"/>
    <w:uiPriority w:val="22"/>
    <w:qFormat/>
    <w:locked/>
    <w:rsid w:val="001915E3"/>
    <w:rPr>
      <w:b/>
      <w:bCs/>
    </w:rPr>
  </w:style>
  <w:style w:type="paragraph" w:customStyle="1" w:styleId="Listaszerbekezds1">
    <w:name w:val="Listaszerű bekezdés1"/>
    <w:basedOn w:val="Norml"/>
    <w:rsid w:val="00650D8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/>
      <w:kern w:val="2"/>
      <w:sz w:val="24"/>
      <w:szCs w:val="21"/>
      <w:lang w:eastAsia="hi-IN"/>
    </w:rPr>
  </w:style>
  <w:style w:type="paragraph" w:styleId="Nincstrkz">
    <w:name w:val="No Spacing"/>
    <w:uiPriority w:val="1"/>
    <w:qFormat/>
    <w:rsid w:val="00B9623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D17"/>
    <w:pPr>
      <w:widowControl/>
      <w:suppressAutoHyphens w:val="0"/>
      <w:spacing w:after="200"/>
    </w:pPr>
    <w:rPr>
      <w:rFonts w:ascii="Calibri" w:eastAsia="Calibri" w:hAnsi="Calibri" w:cs="Times New Roman"/>
      <w:b/>
      <w:bCs/>
      <w:kern w:val="0"/>
      <w:szCs w:val="20"/>
      <w:lang w:val="hu-HU" w:eastAsia="en-US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D17"/>
    <w:rPr>
      <w:rFonts w:ascii="Times New Roman" w:eastAsia="SimSun" w:hAnsi="Times New Roman" w:cs="Mangal"/>
      <w:b/>
      <w:bCs/>
      <w:kern w:val="1"/>
      <w:sz w:val="20"/>
      <w:szCs w:val="20"/>
      <w:lang w:val="x-none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CD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6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6783F"/>
    <w:rPr>
      <w:rFonts w:cs="Times New Roman"/>
    </w:rPr>
  </w:style>
  <w:style w:type="paragraph" w:styleId="llb">
    <w:name w:val="footer"/>
    <w:basedOn w:val="Norml"/>
    <w:link w:val="llbChar"/>
    <w:uiPriority w:val="99"/>
    <w:rsid w:val="0006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6783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6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78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5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5257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52574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6C61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61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61B1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Kiemels2">
    <w:name w:val="Strong"/>
    <w:basedOn w:val="Bekezdsalapbettpusa"/>
    <w:uiPriority w:val="22"/>
    <w:qFormat/>
    <w:locked/>
    <w:rsid w:val="001915E3"/>
    <w:rPr>
      <w:b/>
      <w:bCs/>
    </w:rPr>
  </w:style>
  <w:style w:type="paragraph" w:customStyle="1" w:styleId="Listaszerbekezds1">
    <w:name w:val="Listaszerű bekezdés1"/>
    <w:basedOn w:val="Norml"/>
    <w:rsid w:val="00650D8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/>
      <w:kern w:val="2"/>
      <w:sz w:val="24"/>
      <w:szCs w:val="21"/>
      <w:lang w:eastAsia="hi-IN"/>
    </w:rPr>
  </w:style>
  <w:style w:type="paragraph" w:styleId="Nincstrkz">
    <w:name w:val="No Spacing"/>
    <w:uiPriority w:val="1"/>
    <w:qFormat/>
    <w:rsid w:val="00B9623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D17"/>
    <w:pPr>
      <w:widowControl/>
      <w:suppressAutoHyphens w:val="0"/>
      <w:spacing w:after="200"/>
    </w:pPr>
    <w:rPr>
      <w:rFonts w:ascii="Calibri" w:eastAsia="Calibri" w:hAnsi="Calibri" w:cs="Times New Roman"/>
      <w:b/>
      <w:bCs/>
      <w:kern w:val="0"/>
      <w:szCs w:val="20"/>
      <w:lang w:val="hu-HU" w:eastAsia="en-US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D17"/>
    <w:rPr>
      <w:rFonts w:ascii="Times New Roman" w:eastAsia="SimSun" w:hAnsi="Times New Roman" w:cs="Mangal"/>
      <w:b/>
      <w:bCs/>
      <w:kern w:val="1"/>
      <w:sz w:val="20"/>
      <w:szCs w:val="20"/>
      <w:lang w:val="x-none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Meghívott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Meghívott</dc:title>
  <dc:creator>Móni István</dc:creator>
  <cp:lastModifiedBy>Papp Nóra</cp:lastModifiedBy>
  <cp:revision>3</cp:revision>
  <cp:lastPrinted>2014-05-08T06:35:00Z</cp:lastPrinted>
  <dcterms:created xsi:type="dcterms:W3CDTF">2014-05-09T06:40:00Z</dcterms:created>
  <dcterms:modified xsi:type="dcterms:W3CDTF">2014-05-09T06:46:00Z</dcterms:modified>
</cp:coreProperties>
</file>